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225A40">
        <w:trPr>
          <w:trHeight w:val="2061"/>
        </w:trPr>
        <w:tc>
          <w:tcPr>
            <w:tcW w:w="3369" w:type="dxa"/>
          </w:tcPr>
          <w:p w:rsidR="00225A40" w:rsidRDefault="00355E1B">
            <w:r w:rsidRPr="00355E1B">
              <w:rPr>
                <w:noProof/>
              </w:rPr>
              <w:drawing>
                <wp:inline distT="0" distB="0" distL="0" distR="0">
                  <wp:extent cx="1819275" cy="1202744"/>
                  <wp:effectExtent l="19050" t="0" r="9525" b="0"/>
                  <wp:docPr id="3" name="Picture 1" descr="http://portal/ResCentre/RegTemp/Documents/2013%20Logo%20Files%20Southern%20Health-Santé%20Sud/JPG/JPG%20BLK%20HighRes%20Sh-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/ResCentre/RegTemp/Documents/2013%20Logo%20Files%20Southern%20Health-Santé%20Sud/JPG/JPG%20BLK%20HighRes%20Sh-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86" cy="1209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8454F">
              <w:rPr>
                <w:noProof/>
              </w:rPr>
              <w:pict>
                <v:roundrect id="_x0000_s1026" style="position:absolute;margin-left:195.25pt;margin-top:-13.55pt;width:302.45pt;height:127.55pt;z-index:251657216;mso-position-horizontal-relative:text;mso-position-vertical-relative:margin" arcsize="10923f" o:allowincell="f" stroked="f" strokeweight="6pt">
                  <v:textbox style="mso-next-textbox:#_x0000_s1026" inset="0,0,0,0">
                    <w:txbxContent>
                      <w:p w:rsidR="00091DA5" w:rsidRPr="00C713B5" w:rsidRDefault="00091DA5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>POLICY NUMBER:</w:t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  <w:t>EL- 5</w:t>
                        </w:r>
                      </w:p>
                      <w:p w:rsidR="00091DA5" w:rsidRPr="00C713B5" w:rsidRDefault="00091DA5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>ISSUING AUTHORITY:</w:t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>Board of Directors</w:t>
                        </w:r>
                      </w:p>
                      <w:p w:rsidR="00091DA5" w:rsidRDefault="00091DA5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___________________________________________</w:t>
                        </w:r>
                      </w:p>
                      <w:p w:rsidR="00091DA5" w:rsidRDefault="00091DA5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</w:p>
                      <w:p w:rsidR="00091DA5" w:rsidRPr="00C713B5" w:rsidRDefault="00091DA5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>ISSUE DATE:</w:t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  <w:t>July 19, 2012</w:t>
                        </w:r>
                      </w:p>
                      <w:p w:rsidR="00091DA5" w:rsidRPr="00C8454F" w:rsidRDefault="00091DA5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>REVIEW DATE:</w:t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Pr="00C713B5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="002207D7"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>February 22,</w:t>
                        </w:r>
                        <w:r w:rsidR="00C134D9"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 xml:space="preserve"> 20</w:t>
                        </w:r>
                        <w:r w:rsidR="002207D7"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>22</w:t>
                        </w:r>
                      </w:p>
                      <w:p w:rsidR="00091DA5" w:rsidRPr="00C713B5" w:rsidRDefault="00091DA5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>REVISE DATE:</w:t>
                        </w:r>
                        <w:r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="00C8454F" w:rsidRPr="00C8454F">
                          <w:rPr>
                            <w:rFonts w:ascii="Arial Narrow" w:hAnsi="Arial Narrow"/>
                            <w:b/>
                            <w:sz w:val="24"/>
                          </w:rPr>
                          <w:t>March 15, 2022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</w:tr>
    </w:tbl>
    <w:p w:rsidR="00225A40" w:rsidRDefault="00225A40">
      <w:pPr>
        <w:jc w:val="right"/>
        <w:rPr>
          <w:b/>
          <w:sz w:val="24"/>
        </w:rPr>
      </w:pPr>
    </w:p>
    <w:p w:rsidR="00225A40" w:rsidRDefault="00225A40">
      <w:pPr>
        <w:jc w:val="both"/>
        <w:rPr>
          <w:sz w:val="24"/>
        </w:rPr>
      </w:pPr>
    </w:p>
    <w:p w:rsidR="00225A40" w:rsidRDefault="00225A40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SUBJECT</w:t>
      </w:r>
      <w:r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b/>
          <w:sz w:val="24"/>
        </w:rPr>
        <w:tab/>
        <w:t>Executive Limitation:</w:t>
      </w:r>
    </w:p>
    <w:p w:rsidR="00225A40" w:rsidRDefault="00225A40">
      <w:pPr>
        <w:pStyle w:val="Heading4"/>
        <w:rPr>
          <w:rFonts w:ascii="Arial Narrow" w:hAnsi="Arial Narrow"/>
          <w:u w:val="single"/>
        </w:rPr>
      </w:pPr>
      <w:r>
        <w:rPr>
          <w:rFonts w:ascii="Arial Narrow" w:hAnsi="Arial Narrow"/>
        </w:rPr>
        <w:t>Financial Condition &amp; Activities</w:t>
      </w:r>
    </w:p>
    <w:p w:rsidR="00103512" w:rsidRDefault="00103512" w:rsidP="00B11CD9">
      <w:pPr>
        <w:ind w:left="2665" w:hanging="2665"/>
        <w:rPr>
          <w:rFonts w:ascii="Arial Narrow" w:hAnsi="Arial Narrow"/>
          <w:b/>
          <w:sz w:val="24"/>
          <w:u w:val="single"/>
        </w:rPr>
      </w:pPr>
    </w:p>
    <w:p w:rsidR="00096F3D" w:rsidRDefault="00B11CD9" w:rsidP="00B11CD9">
      <w:pPr>
        <w:ind w:left="2665" w:hanging="2665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REFERENCE BOARD END:</w:t>
      </w:r>
    </w:p>
    <w:p w:rsidR="001429ED" w:rsidRPr="006F2835" w:rsidRDefault="001429ED" w:rsidP="001429ED">
      <w:pPr>
        <w:spacing w:line="276" w:lineRule="auto"/>
        <w:ind w:left="670" w:right="540"/>
        <w:jc w:val="both"/>
        <w:rPr>
          <w:rFonts w:ascii="Arial Narrow" w:hAnsi="Arial Narrow"/>
          <w:sz w:val="24"/>
          <w:u w:val="single"/>
        </w:rPr>
      </w:pPr>
      <w:r w:rsidRPr="006F2835">
        <w:rPr>
          <w:rFonts w:ascii="Arial Narrow" w:hAnsi="Arial Narrow"/>
          <w:sz w:val="24"/>
          <w:szCs w:val="24"/>
        </w:rPr>
        <w:t>Sustainable, accountable and responsive health organization</w:t>
      </w:r>
    </w:p>
    <w:p w:rsidR="00225A40" w:rsidRDefault="00225A40">
      <w:pPr>
        <w:ind w:right="540"/>
        <w:rPr>
          <w:rFonts w:ascii="Arial Narrow" w:hAnsi="Arial Narrow"/>
          <w:sz w:val="24"/>
        </w:rPr>
      </w:pPr>
    </w:p>
    <w:p w:rsidR="00355E1B" w:rsidRDefault="00355E1B">
      <w:pPr>
        <w:ind w:right="540"/>
        <w:rPr>
          <w:rFonts w:ascii="Arial Narrow" w:hAnsi="Arial Narrow"/>
          <w:sz w:val="24"/>
        </w:rPr>
      </w:pPr>
    </w:p>
    <w:p w:rsidR="00225A40" w:rsidRDefault="00225A40">
      <w:pPr>
        <w:ind w:right="540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POLICY</w:t>
      </w:r>
      <w:r>
        <w:rPr>
          <w:rFonts w:ascii="Arial Narrow" w:hAnsi="Arial Narrow"/>
          <w:sz w:val="24"/>
          <w:u w:val="single"/>
        </w:rPr>
        <w:t>:</w:t>
      </w:r>
    </w:p>
    <w:p w:rsidR="00225A40" w:rsidRDefault="00225A40">
      <w:pPr>
        <w:ind w:right="540"/>
        <w:rPr>
          <w:rFonts w:ascii="Arial Narrow" w:hAnsi="Arial Narrow"/>
          <w:sz w:val="24"/>
        </w:rPr>
      </w:pPr>
    </w:p>
    <w:p w:rsidR="00BA0C77" w:rsidRPr="0061323A" w:rsidRDefault="004B60E6" w:rsidP="00BA0C77">
      <w:pPr>
        <w:jc w:val="both"/>
        <w:rPr>
          <w:rFonts w:ascii="Arial Narrow" w:hAnsi="Arial Narrow"/>
          <w:sz w:val="24"/>
          <w:szCs w:val="24"/>
        </w:rPr>
      </w:pPr>
      <w:r w:rsidRPr="00BA0C77">
        <w:rPr>
          <w:rFonts w:ascii="Arial Narrow" w:hAnsi="Arial Narrow"/>
          <w:sz w:val="24"/>
          <w:szCs w:val="24"/>
        </w:rPr>
        <w:t>T</w:t>
      </w:r>
      <w:r w:rsidR="00225A40" w:rsidRPr="00BA0C77">
        <w:rPr>
          <w:rFonts w:ascii="Arial Narrow" w:hAnsi="Arial Narrow"/>
          <w:sz w:val="24"/>
          <w:szCs w:val="24"/>
        </w:rPr>
        <w:t>he CEO shall not cause or allow the development of fiscal jeopardy</w:t>
      </w:r>
      <w:r w:rsidR="00BA0C77" w:rsidRPr="00BA0C77">
        <w:rPr>
          <w:rFonts w:ascii="Arial Narrow" w:hAnsi="Arial Narrow"/>
          <w:sz w:val="24"/>
          <w:szCs w:val="24"/>
        </w:rPr>
        <w:t xml:space="preserve"> </w:t>
      </w:r>
      <w:r w:rsidR="00BA0C77">
        <w:rPr>
          <w:rFonts w:ascii="Arial Narrow" w:hAnsi="Arial Narrow"/>
          <w:sz w:val="24"/>
          <w:szCs w:val="24"/>
        </w:rPr>
        <w:t>and shall not f</w:t>
      </w:r>
      <w:r w:rsidR="00BA0C77" w:rsidRPr="000116CC">
        <w:rPr>
          <w:rFonts w:ascii="Arial Narrow" w:hAnsi="Arial Narrow"/>
          <w:sz w:val="24"/>
          <w:szCs w:val="24"/>
        </w:rPr>
        <w:t xml:space="preserve">ail to evaluate and minimize potential risks in accordance with </w:t>
      </w:r>
      <w:r w:rsidR="00FE7413">
        <w:rPr>
          <w:rFonts w:ascii="Arial Narrow" w:hAnsi="Arial Narrow"/>
          <w:sz w:val="24"/>
          <w:szCs w:val="24"/>
        </w:rPr>
        <w:t>Executive Limitation (EL-</w:t>
      </w:r>
      <w:r w:rsidR="00BA0C77" w:rsidRPr="000116CC">
        <w:rPr>
          <w:rFonts w:ascii="Arial Narrow" w:hAnsi="Arial Narrow"/>
          <w:sz w:val="24"/>
          <w:szCs w:val="24"/>
        </w:rPr>
        <w:t>1</w:t>
      </w:r>
      <w:r w:rsidR="00FE7413">
        <w:rPr>
          <w:rFonts w:ascii="Arial Narrow" w:hAnsi="Arial Narrow"/>
          <w:sz w:val="24"/>
          <w:szCs w:val="24"/>
        </w:rPr>
        <w:t>)</w:t>
      </w:r>
      <w:r w:rsidR="00BA0C77" w:rsidRPr="000116CC">
        <w:rPr>
          <w:rFonts w:ascii="Arial Narrow" w:hAnsi="Arial Narrow"/>
          <w:sz w:val="24"/>
          <w:szCs w:val="24"/>
        </w:rPr>
        <w:t xml:space="preserve"> Global </w:t>
      </w:r>
      <w:r w:rsidR="00FE7413">
        <w:rPr>
          <w:rFonts w:ascii="Arial Narrow" w:hAnsi="Arial Narrow"/>
          <w:sz w:val="24"/>
          <w:szCs w:val="24"/>
        </w:rPr>
        <w:t>E</w:t>
      </w:r>
      <w:r w:rsidR="00BA0C77" w:rsidRPr="000116CC">
        <w:rPr>
          <w:rFonts w:ascii="Arial Narrow" w:hAnsi="Arial Narrow"/>
          <w:sz w:val="24"/>
          <w:szCs w:val="24"/>
        </w:rPr>
        <w:t xml:space="preserve">xecutive </w:t>
      </w:r>
      <w:r w:rsidR="00FE7413">
        <w:rPr>
          <w:rFonts w:ascii="Arial Narrow" w:hAnsi="Arial Narrow"/>
          <w:sz w:val="24"/>
          <w:szCs w:val="24"/>
        </w:rPr>
        <w:t>R</w:t>
      </w:r>
      <w:r w:rsidR="00BA0C77" w:rsidRPr="000116CC">
        <w:rPr>
          <w:rFonts w:ascii="Arial Narrow" w:hAnsi="Arial Narrow"/>
          <w:sz w:val="24"/>
          <w:szCs w:val="24"/>
        </w:rPr>
        <w:t xml:space="preserve">estraint &amp; </w:t>
      </w:r>
      <w:r w:rsidR="00FE7413">
        <w:rPr>
          <w:rFonts w:ascii="Arial Narrow" w:hAnsi="Arial Narrow"/>
          <w:sz w:val="24"/>
          <w:szCs w:val="24"/>
        </w:rPr>
        <w:t>R</w:t>
      </w:r>
      <w:r w:rsidR="00BA0C77">
        <w:rPr>
          <w:rFonts w:ascii="Arial Narrow" w:hAnsi="Arial Narrow"/>
          <w:sz w:val="24"/>
          <w:szCs w:val="24"/>
        </w:rPr>
        <w:t xml:space="preserve">isk </w:t>
      </w:r>
      <w:r w:rsidR="00FE7413">
        <w:rPr>
          <w:rFonts w:ascii="Arial Narrow" w:hAnsi="Arial Narrow"/>
          <w:sz w:val="24"/>
          <w:szCs w:val="24"/>
        </w:rPr>
        <w:t>M</w:t>
      </w:r>
      <w:r w:rsidR="00BA0C77">
        <w:rPr>
          <w:rFonts w:ascii="Arial Narrow" w:hAnsi="Arial Narrow"/>
          <w:sz w:val="24"/>
          <w:szCs w:val="24"/>
        </w:rPr>
        <w:t>anagement.</w:t>
      </w:r>
    </w:p>
    <w:p w:rsidR="00225A40" w:rsidRDefault="00225A40">
      <w:pPr>
        <w:pStyle w:val="BodyText2"/>
        <w:jc w:val="both"/>
        <w:rPr>
          <w:rFonts w:ascii="Arial Narrow" w:hAnsi="Arial Narrow"/>
        </w:rPr>
      </w:pPr>
    </w:p>
    <w:p w:rsidR="00225A40" w:rsidRDefault="00225A40">
      <w:pPr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 xml:space="preserve">Further, without limiting the scope of the foregoing, </w:t>
      </w:r>
      <w:r w:rsidR="00FF3347">
        <w:rPr>
          <w:rFonts w:ascii="Arial Narrow" w:hAnsi="Arial Narrow"/>
          <w:snapToGrid w:val="0"/>
          <w:sz w:val="24"/>
        </w:rPr>
        <w:t>the CEO</w:t>
      </w:r>
      <w:r>
        <w:rPr>
          <w:rFonts w:ascii="Arial Narrow" w:hAnsi="Arial Narrow"/>
          <w:snapToGrid w:val="0"/>
          <w:sz w:val="24"/>
        </w:rPr>
        <w:t xml:space="preserve"> shall not</w:t>
      </w:r>
      <w:r w:rsidR="00EC2B43">
        <w:rPr>
          <w:rFonts w:ascii="Arial Narrow" w:hAnsi="Arial Narrow"/>
          <w:snapToGrid w:val="0"/>
          <w:sz w:val="24"/>
        </w:rPr>
        <w:t>, without full disclosure and approval of the Board</w:t>
      </w:r>
      <w:r>
        <w:rPr>
          <w:rFonts w:ascii="Arial Narrow" w:hAnsi="Arial Narrow"/>
          <w:snapToGrid w:val="0"/>
          <w:sz w:val="24"/>
        </w:rPr>
        <w:t>:</w:t>
      </w:r>
    </w:p>
    <w:p w:rsidR="00225A40" w:rsidRDefault="00225A40">
      <w:pPr>
        <w:jc w:val="both"/>
        <w:rPr>
          <w:rFonts w:ascii="Arial Narrow" w:hAnsi="Arial Narrow"/>
          <w:snapToGrid w:val="0"/>
          <w:sz w:val="24"/>
        </w:rPr>
      </w:pPr>
    </w:p>
    <w:p w:rsidR="00225A40" w:rsidRDefault="009E44C1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Commit the Region to e</w:t>
      </w:r>
      <w:r w:rsidR="00225A40">
        <w:rPr>
          <w:rFonts w:ascii="Arial Narrow" w:hAnsi="Arial Narrow"/>
          <w:snapToGrid w:val="0"/>
          <w:sz w:val="24"/>
        </w:rPr>
        <w:t xml:space="preserve">xpend more funds than </w:t>
      </w:r>
      <w:r>
        <w:rPr>
          <w:rFonts w:ascii="Arial Narrow" w:hAnsi="Arial Narrow"/>
          <w:snapToGrid w:val="0"/>
          <w:sz w:val="24"/>
        </w:rPr>
        <w:t>can be expected to be received on a yearly basis without prior approval of the Board</w:t>
      </w:r>
      <w:r w:rsidR="00225A40">
        <w:rPr>
          <w:rFonts w:ascii="Arial Narrow" w:hAnsi="Arial Narrow"/>
          <w:snapToGrid w:val="0"/>
          <w:sz w:val="24"/>
        </w:rPr>
        <w:t>.</w:t>
      </w:r>
    </w:p>
    <w:p w:rsidR="00225A40" w:rsidRDefault="00225A40">
      <w:pPr>
        <w:jc w:val="both"/>
        <w:rPr>
          <w:rFonts w:ascii="Arial Narrow" w:hAnsi="Arial Narrow"/>
          <w:snapToGrid w:val="0"/>
          <w:sz w:val="24"/>
        </w:rPr>
      </w:pPr>
    </w:p>
    <w:p w:rsidR="00225A40" w:rsidRDefault="00225A40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Indebt the organization in an amount that would lower the current asset/liability ratio to less than one to one.</w:t>
      </w:r>
    </w:p>
    <w:p w:rsidR="00225A40" w:rsidRDefault="00225A40">
      <w:pPr>
        <w:jc w:val="both"/>
        <w:rPr>
          <w:rFonts w:ascii="Arial Narrow" w:hAnsi="Arial Narrow"/>
          <w:snapToGrid w:val="0"/>
          <w:sz w:val="24"/>
        </w:rPr>
      </w:pPr>
    </w:p>
    <w:p w:rsidR="00225A40" w:rsidRDefault="00225A40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Fail to settle payroll and debts in a timely manner.</w:t>
      </w:r>
    </w:p>
    <w:p w:rsidR="00225A40" w:rsidRDefault="00225A40" w:rsidP="00096F3D">
      <w:pPr>
        <w:jc w:val="both"/>
        <w:rPr>
          <w:rFonts w:ascii="Arial Narrow" w:hAnsi="Arial Narrow"/>
          <w:snapToGrid w:val="0"/>
          <w:sz w:val="24"/>
        </w:rPr>
      </w:pPr>
    </w:p>
    <w:p w:rsidR="00225A40" w:rsidRDefault="00225A40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Allow government statutory obligations to be filed inaccurately or overdue.</w:t>
      </w:r>
    </w:p>
    <w:p w:rsidR="00225A40" w:rsidRDefault="00225A40" w:rsidP="00096F3D">
      <w:pPr>
        <w:jc w:val="both"/>
        <w:rPr>
          <w:rFonts w:ascii="Arial Narrow" w:hAnsi="Arial Narrow"/>
          <w:snapToGrid w:val="0"/>
          <w:sz w:val="24"/>
        </w:rPr>
      </w:pPr>
    </w:p>
    <w:p w:rsidR="00225A40" w:rsidRDefault="00225A40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Make a single purchase or commitment of greater than $500,000</w:t>
      </w:r>
      <w:r w:rsidR="00F4151A">
        <w:rPr>
          <w:rFonts w:ascii="Arial Narrow" w:hAnsi="Arial Narrow"/>
          <w:snapToGrid w:val="0"/>
          <w:sz w:val="24"/>
        </w:rPr>
        <w:t xml:space="preserve"> without prior approval from the Board</w:t>
      </w:r>
      <w:r>
        <w:rPr>
          <w:rFonts w:ascii="Arial Narrow" w:hAnsi="Arial Narrow"/>
          <w:snapToGrid w:val="0"/>
          <w:sz w:val="24"/>
        </w:rPr>
        <w:t xml:space="preserve">. </w:t>
      </w:r>
      <w:r w:rsidR="007565D9">
        <w:rPr>
          <w:rFonts w:ascii="Arial Narrow" w:hAnsi="Arial Narrow"/>
          <w:snapToGrid w:val="0"/>
          <w:sz w:val="24"/>
        </w:rPr>
        <w:t xml:space="preserve"> </w:t>
      </w:r>
      <w:r>
        <w:rPr>
          <w:rFonts w:ascii="Arial Narrow" w:hAnsi="Arial Narrow"/>
          <w:snapToGrid w:val="0"/>
          <w:sz w:val="24"/>
        </w:rPr>
        <w:t>Splitting orders to avoid this limit is not acceptable.</w:t>
      </w:r>
    </w:p>
    <w:p w:rsidR="00AA4F2C" w:rsidRPr="00AA4F2C" w:rsidRDefault="00AA4F2C" w:rsidP="00AA4F2C">
      <w:pPr>
        <w:ind w:left="567"/>
        <w:rPr>
          <w:rFonts w:ascii="Arial Narrow" w:hAnsi="Arial Narrow"/>
          <w:iCs/>
          <w:sz w:val="24"/>
          <w:szCs w:val="24"/>
        </w:rPr>
      </w:pPr>
      <w:r w:rsidRPr="00AA4F2C">
        <w:rPr>
          <w:rFonts w:ascii="Arial Narrow" w:hAnsi="Arial Narrow"/>
          <w:iCs/>
          <w:sz w:val="24"/>
          <w:szCs w:val="24"/>
        </w:rPr>
        <w:t xml:space="preserve">For the following exceptions, any contract, document, or instrument with a value of five hundred thousand dollars ($500,000.00) or greater may be signed by two designated senior staff: </w:t>
      </w:r>
    </w:p>
    <w:p w:rsidR="00AA4F2C" w:rsidRPr="00AA4F2C" w:rsidRDefault="00AA4F2C" w:rsidP="00AA4F2C">
      <w:pPr>
        <w:pStyle w:val="ListParagraph"/>
        <w:numPr>
          <w:ilvl w:val="0"/>
          <w:numId w:val="47"/>
        </w:numPr>
        <w:rPr>
          <w:rFonts w:ascii="Arial Narrow" w:hAnsi="Arial Narrow"/>
          <w:iCs/>
          <w:sz w:val="24"/>
          <w:szCs w:val="24"/>
        </w:rPr>
      </w:pPr>
      <w:r w:rsidRPr="00AA4F2C">
        <w:rPr>
          <w:rFonts w:ascii="Arial Narrow" w:hAnsi="Arial Narrow"/>
          <w:iCs/>
          <w:sz w:val="24"/>
          <w:szCs w:val="24"/>
        </w:rPr>
        <w:t xml:space="preserve">remittances to meet statutory requirements, </w:t>
      </w:r>
    </w:p>
    <w:p w:rsidR="00AA4F2C" w:rsidRPr="00AA4F2C" w:rsidRDefault="00AA4F2C" w:rsidP="00AA4F2C">
      <w:pPr>
        <w:pStyle w:val="ListParagraph"/>
        <w:numPr>
          <w:ilvl w:val="0"/>
          <w:numId w:val="47"/>
        </w:numPr>
        <w:rPr>
          <w:rFonts w:ascii="Arial Narrow" w:hAnsi="Arial Narrow"/>
          <w:iCs/>
          <w:sz w:val="24"/>
          <w:szCs w:val="24"/>
        </w:rPr>
      </w:pPr>
      <w:r w:rsidRPr="00AA4F2C">
        <w:rPr>
          <w:rFonts w:ascii="Arial Narrow" w:hAnsi="Arial Narrow"/>
          <w:iCs/>
          <w:sz w:val="24"/>
          <w:szCs w:val="24"/>
        </w:rPr>
        <w:t xml:space="preserve">transfers to meet payroll requirements, </w:t>
      </w:r>
    </w:p>
    <w:p w:rsidR="00AA4F2C" w:rsidRPr="00AA4F2C" w:rsidRDefault="00AA4F2C" w:rsidP="00AA4F2C">
      <w:pPr>
        <w:pStyle w:val="ListParagraph"/>
        <w:numPr>
          <w:ilvl w:val="0"/>
          <w:numId w:val="47"/>
        </w:numPr>
        <w:rPr>
          <w:rFonts w:ascii="Arial Narrow" w:hAnsi="Arial Narrow"/>
          <w:iCs/>
          <w:sz w:val="24"/>
          <w:szCs w:val="24"/>
        </w:rPr>
      </w:pPr>
      <w:r w:rsidRPr="00AA4F2C">
        <w:rPr>
          <w:rFonts w:ascii="Arial Narrow" w:hAnsi="Arial Narrow"/>
          <w:iCs/>
          <w:sz w:val="24"/>
          <w:szCs w:val="24"/>
        </w:rPr>
        <w:t xml:space="preserve">payment of invoices for the general acquisition of goods, supplies, and services relevant for the purposes of day-to-day operations, and </w:t>
      </w:r>
    </w:p>
    <w:p w:rsidR="00AA4F2C" w:rsidRPr="00C845D9" w:rsidRDefault="00AA4F2C" w:rsidP="00AA4F2C">
      <w:pPr>
        <w:pStyle w:val="ListParagraph"/>
        <w:numPr>
          <w:ilvl w:val="0"/>
          <w:numId w:val="47"/>
        </w:numPr>
        <w:rPr>
          <w:rFonts w:ascii="Arial Narrow" w:hAnsi="Arial Narrow"/>
          <w:snapToGrid w:val="0"/>
          <w:sz w:val="24"/>
        </w:rPr>
      </w:pPr>
      <w:r w:rsidRPr="00AA4F2C">
        <w:rPr>
          <w:rFonts w:ascii="Arial Narrow" w:hAnsi="Arial Narrow"/>
          <w:iCs/>
          <w:sz w:val="24"/>
          <w:szCs w:val="24"/>
        </w:rPr>
        <w:t>the execution of Independent Physician Contracts for the provision of medical services as funded by Ma</w:t>
      </w:r>
      <w:r w:rsidR="00C845D9">
        <w:rPr>
          <w:rFonts w:ascii="Arial Narrow" w:hAnsi="Arial Narrow"/>
          <w:iCs/>
          <w:sz w:val="24"/>
          <w:szCs w:val="24"/>
        </w:rPr>
        <w:t>nitoba Health.</w:t>
      </w:r>
    </w:p>
    <w:p w:rsidR="00C845D9" w:rsidRPr="00F4151A" w:rsidRDefault="00A70D5E" w:rsidP="00AA4F2C">
      <w:pPr>
        <w:pStyle w:val="ListParagraph"/>
        <w:numPr>
          <w:ilvl w:val="0"/>
          <w:numId w:val="47"/>
        </w:numPr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iCs/>
          <w:sz w:val="24"/>
          <w:szCs w:val="24"/>
        </w:rPr>
        <w:t>p</w:t>
      </w:r>
      <w:r w:rsidR="00C845D9">
        <w:rPr>
          <w:rFonts w:ascii="Arial Narrow" w:hAnsi="Arial Narrow"/>
          <w:iCs/>
          <w:sz w:val="24"/>
          <w:szCs w:val="24"/>
        </w:rPr>
        <w:t>ayment of invoices for approved capital projects</w:t>
      </w:r>
    </w:p>
    <w:p w:rsidR="00225A40" w:rsidRDefault="00225A40" w:rsidP="00096F3D">
      <w:pPr>
        <w:jc w:val="both"/>
        <w:rPr>
          <w:rFonts w:ascii="Arial Narrow" w:hAnsi="Arial Narrow"/>
          <w:snapToGrid w:val="0"/>
          <w:sz w:val="24"/>
        </w:rPr>
      </w:pPr>
    </w:p>
    <w:p w:rsidR="00225A40" w:rsidRDefault="00225A40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Acquire, encumber or dispose of real property</w:t>
      </w:r>
      <w:r w:rsidR="003A26CB">
        <w:rPr>
          <w:rFonts w:ascii="Arial Narrow" w:hAnsi="Arial Narrow"/>
          <w:snapToGrid w:val="0"/>
          <w:sz w:val="24"/>
        </w:rPr>
        <w:t xml:space="preserve"> in accordance with current legislation</w:t>
      </w:r>
      <w:r>
        <w:rPr>
          <w:rFonts w:ascii="Arial Narrow" w:hAnsi="Arial Narrow"/>
          <w:snapToGrid w:val="0"/>
          <w:sz w:val="24"/>
        </w:rPr>
        <w:t>.</w:t>
      </w:r>
    </w:p>
    <w:p w:rsidR="00225A40" w:rsidRDefault="00225A40">
      <w:pPr>
        <w:jc w:val="both"/>
        <w:rPr>
          <w:rFonts w:ascii="Arial Narrow" w:hAnsi="Arial Narrow"/>
          <w:snapToGrid w:val="0"/>
          <w:sz w:val="24"/>
        </w:rPr>
      </w:pPr>
    </w:p>
    <w:p w:rsidR="00225A40" w:rsidRDefault="00225A40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Fail to aggressively pursue accounts receivables after a reasonable grace period.</w:t>
      </w:r>
    </w:p>
    <w:p w:rsidR="00103512" w:rsidRDefault="00103512" w:rsidP="00103512">
      <w:pPr>
        <w:jc w:val="both"/>
        <w:rPr>
          <w:rFonts w:ascii="Arial Narrow" w:hAnsi="Arial Narrow"/>
          <w:snapToGrid w:val="0"/>
          <w:sz w:val="24"/>
        </w:rPr>
      </w:pPr>
    </w:p>
    <w:p w:rsidR="00F4151A" w:rsidRPr="00F4151A" w:rsidRDefault="00103512" w:rsidP="00F4151A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 xml:space="preserve">Allow </w:t>
      </w:r>
      <w:r w:rsidR="00096F3D">
        <w:rPr>
          <w:rFonts w:ascii="Arial Narrow" w:hAnsi="Arial Narrow"/>
          <w:snapToGrid w:val="0"/>
          <w:sz w:val="24"/>
        </w:rPr>
        <w:t>unauthorized</w:t>
      </w:r>
      <w:r>
        <w:rPr>
          <w:rFonts w:ascii="Arial Narrow" w:hAnsi="Arial Narrow"/>
          <w:snapToGrid w:val="0"/>
          <w:sz w:val="24"/>
        </w:rPr>
        <w:t xml:space="preserve"> personnel access to material amounts of funds.</w:t>
      </w:r>
    </w:p>
    <w:p w:rsidR="00103512" w:rsidRDefault="00103512" w:rsidP="00103512">
      <w:pPr>
        <w:jc w:val="both"/>
        <w:rPr>
          <w:rFonts w:ascii="Arial Narrow" w:hAnsi="Arial Narrow"/>
          <w:snapToGrid w:val="0"/>
          <w:sz w:val="24"/>
        </w:rPr>
      </w:pPr>
    </w:p>
    <w:p w:rsidR="00103512" w:rsidRPr="00F4151A" w:rsidRDefault="00103512" w:rsidP="00FE7413">
      <w:pPr>
        <w:numPr>
          <w:ilvl w:val="0"/>
          <w:numId w:val="36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</w:rPr>
        <w:t xml:space="preserve">Make any purchase: </w:t>
      </w:r>
    </w:p>
    <w:p w:rsidR="00103512" w:rsidRPr="00F4151A" w:rsidRDefault="00103512" w:rsidP="00096F3D">
      <w:pPr>
        <w:numPr>
          <w:ilvl w:val="1"/>
          <w:numId w:val="36"/>
        </w:numPr>
        <w:tabs>
          <w:tab w:val="clear" w:pos="792"/>
          <w:tab w:val="num" w:pos="851"/>
        </w:tabs>
        <w:spacing w:after="120"/>
        <w:ind w:left="1276" w:hanging="709"/>
        <w:jc w:val="both"/>
        <w:rPr>
          <w:rFonts w:ascii="Arial Narrow" w:hAnsi="Arial Narrow"/>
          <w:snapToGrid w:val="0"/>
          <w:sz w:val="24"/>
          <w:szCs w:val="24"/>
        </w:rPr>
      </w:pPr>
      <w:r w:rsidRPr="00F4151A">
        <w:rPr>
          <w:rFonts w:ascii="Arial Narrow" w:hAnsi="Arial Narrow"/>
          <w:snapToGrid w:val="0"/>
          <w:sz w:val="24"/>
          <w:szCs w:val="24"/>
        </w:rPr>
        <w:t>wherein normally prudent protection has not been given against conflict of interest;</w:t>
      </w:r>
    </w:p>
    <w:p w:rsidR="007A3267" w:rsidRPr="00AB3BFE" w:rsidRDefault="00103512" w:rsidP="00F4151A">
      <w:pPr>
        <w:numPr>
          <w:ilvl w:val="1"/>
          <w:numId w:val="36"/>
        </w:numPr>
        <w:tabs>
          <w:tab w:val="clear" w:pos="792"/>
          <w:tab w:val="num" w:pos="851"/>
        </w:tabs>
        <w:spacing w:after="120"/>
        <w:ind w:left="1276" w:hanging="709"/>
        <w:jc w:val="both"/>
        <w:rPr>
          <w:rFonts w:ascii="Arial Narrow" w:hAnsi="Arial Narrow"/>
          <w:snapToGrid w:val="0"/>
          <w:sz w:val="24"/>
        </w:rPr>
      </w:pPr>
      <w:r w:rsidRPr="00AB3BFE">
        <w:rPr>
          <w:rFonts w:ascii="Arial Narrow" w:hAnsi="Arial Narrow"/>
          <w:snapToGrid w:val="0"/>
          <w:sz w:val="24"/>
          <w:szCs w:val="24"/>
        </w:rPr>
        <w:t xml:space="preserve">of over </w:t>
      </w:r>
      <w:r w:rsidRPr="00A14D83">
        <w:rPr>
          <w:rFonts w:ascii="Arial Narrow" w:hAnsi="Arial Narrow"/>
          <w:snapToGrid w:val="0"/>
          <w:sz w:val="24"/>
          <w:szCs w:val="24"/>
        </w:rPr>
        <w:t>$25,000</w:t>
      </w:r>
      <w:r w:rsidRPr="00AB3BFE">
        <w:rPr>
          <w:rFonts w:ascii="Arial Narrow" w:hAnsi="Arial Narrow"/>
          <w:snapToGrid w:val="0"/>
          <w:sz w:val="24"/>
          <w:szCs w:val="24"/>
        </w:rPr>
        <w:t xml:space="preserve"> without having obtained comparative prices assuring long term quality and cost. Orders shall not</w:t>
      </w:r>
      <w:r w:rsidRPr="00AB3BFE">
        <w:rPr>
          <w:rFonts w:ascii="Arial Narrow" w:hAnsi="Arial Narrow"/>
          <w:snapToGrid w:val="0"/>
          <w:sz w:val="24"/>
        </w:rPr>
        <w:t xml:space="preserve"> be split to avoid these requirements. </w:t>
      </w:r>
    </w:p>
    <w:p w:rsidR="00103512" w:rsidRDefault="00103512" w:rsidP="002A6100">
      <w:pPr>
        <w:pStyle w:val="BodyText2"/>
        <w:jc w:val="both"/>
        <w:rPr>
          <w:rFonts w:ascii="Arial Narrow" w:hAnsi="Arial Narrow"/>
        </w:rPr>
      </w:pPr>
    </w:p>
    <w:p w:rsidR="00103512" w:rsidRDefault="00103512" w:rsidP="00096F3D">
      <w:pPr>
        <w:numPr>
          <w:ilvl w:val="0"/>
          <w:numId w:val="36"/>
        </w:numPr>
        <w:tabs>
          <w:tab w:val="clear" w:pos="360"/>
          <w:tab w:val="num" w:pos="567"/>
        </w:tabs>
        <w:ind w:left="567" w:hanging="567"/>
        <w:jc w:val="both"/>
        <w:rPr>
          <w:rFonts w:ascii="Arial Narrow" w:hAnsi="Arial Narrow"/>
          <w:snapToGrid w:val="0"/>
          <w:sz w:val="24"/>
        </w:rPr>
      </w:pPr>
      <w:r>
        <w:rPr>
          <w:rFonts w:ascii="Arial Narrow" w:hAnsi="Arial Narrow"/>
          <w:snapToGrid w:val="0"/>
          <w:sz w:val="24"/>
        </w:rPr>
        <w:t>Receive, process or disburse funds under controls that are insufficient to meet the Board-appointed auditor's standards.</w:t>
      </w:r>
    </w:p>
    <w:p w:rsidR="00103512" w:rsidRDefault="00103512" w:rsidP="00103512">
      <w:pPr>
        <w:jc w:val="both"/>
        <w:rPr>
          <w:rFonts w:ascii="Arial Narrow" w:hAnsi="Arial Narrow"/>
          <w:snapToGrid w:val="0"/>
          <w:sz w:val="24"/>
        </w:rPr>
      </w:pPr>
    </w:p>
    <w:p w:rsidR="002A6100" w:rsidRPr="006F2EA0" w:rsidRDefault="002A6100" w:rsidP="006F2EA0">
      <w:pPr>
        <w:numPr>
          <w:ilvl w:val="0"/>
          <w:numId w:val="36"/>
        </w:numPr>
        <w:tabs>
          <w:tab w:val="clear" w:pos="360"/>
          <w:tab w:val="num" w:pos="567"/>
          <w:tab w:val="num" w:pos="72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6F2EA0">
        <w:rPr>
          <w:rFonts w:ascii="Arial Narrow" w:hAnsi="Arial Narrow"/>
          <w:snapToGrid w:val="0"/>
          <w:sz w:val="24"/>
          <w:szCs w:val="24"/>
        </w:rPr>
        <w:t>Fail to invest surplus funds</w:t>
      </w:r>
      <w:r w:rsidRPr="006F2EA0">
        <w:rPr>
          <w:rFonts w:ascii="Arial Narrow" w:hAnsi="Arial Narrow"/>
          <w:sz w:val="24"/>
          <w:szCs w:val="24"/>
        </w:rPr>
        <w:t xml:space="preserve">, maximizing investment income for </w:t>
      </w:r>
      <w:r w:rsidR="00355E1B" w:rsidRPr="006F2EA0">
        <w:rPr>
          <w:rFonts w:ascii="Arial Narrow" w:hAnsi="Arial Narrow"/>
          <w:sz w:val="24"/>
          <w:szCs w:val="24"/>
        </w:rPr>
        <w:t>Southern Health-Santé Sud</w:t>
      </w:r>
      <w:r w:rsidRPr="006F2EA0">
        <w:rPr>
          <w:rFonts w:ascii="Arial Narrow" w:hAnsi="Arial Narrow"/>
          <w:sz w:val="24"/>
          <w:szCs w:val="24"/>
        </w:rPr>
        <w:t>,</w:t>
      </w:r>
      <w:r w:rsidRPr="00195E1A">
        <w:rPr>
          <w:rFonts w:ascii="Arial Narrow" w:hAnsi="Arial Narrow"/>
          <w:snapToGrid w:val="0"/>
          <w:sz w:val="24"/>
          <w:szCs w:val="24"/>
        </w:rPr>
        <w:t xml:space="preserve"> in </w:t>
      </w:r>
      <w:r w:rsidR="006F2EA0" w:rsidRPr="006F2EA0">
        <w:rPr>
          <w:rFonts w:ascii="Arial Narrow" w:hAnsi="Arial Narrow"/>
          <w:snapToGrid w:val="0"/>
          <w:sz w:val="24"/>
          <w:szCs w:val="24"/>
        </w:rPr>
        <w:t xml:space="preserve">Government </w:t>
      </w:r>
      <w:r w:rsidRPr="006F2EA0">
        <w:rPr>
          <w:rFonts w:ascii="Arial Narrow" w:hAnsi="Arial Narrow"/>
          <w:snapToGrid w:val="0"/>
          <w:sz w:val="24"/>
          <w:szCs w:val="24"/>
        </w:rPr>
        <w:t>guaranteed investment instruments</w:t>
      </w:r>
      <w:r w:rsidRPr="006F2EA0">
        <w:rPr>
          <w:rFonts w:ascii="Arial Narrow" w:hAnsi="Arial Narrow"/>
          <w:sz w:val="24"/>
          <w:szCs w:val="24"/>
        </w:rPr>
        <w:t>.</w:t>
      </w:r>
    </w:p>
    <w:p w:rsidR="002A6100" w:rsidRDefault="002A6100" w:rsidP="002A6100">
      <w:pPr>
        <w:numPr>
          <w:ilvl w:val="1"/>
          <w:numId w:val="36"/>
        </w:numPr>
        <w:tabs>
          <w:tab w:val="clear" w:pos="792"/>
          <w:tab w:val="num" w:pos="851"/>
        </w:tabs>
        <w:spacing w:after="120"/>
        <w:ind w:left="1276" w:hanging="70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All investments shall be made in instruments with interest or fixed income and shall not exceed </w:t>
      </w:r>
      <w:r w:rsidR="006D1975">
        <w:rPr>
          <w:rFonts w:ascii="Arial Narrow" w:hAnsi="Arial Narrow"/>
          <w:sz w:val="24"/>
        </w:rPr>
        <w:t xml:space="preserve">two </w:t>
      </w:r>
      <w:r>
        <w:rPr>
          <w:rFonts w:ascii="Arial Narrow" w:hAnsi="Arial Narrow"/>
          <w:sz w:val="24"/>
        </w:rPr>
        <w:t>years in term to maturity</w:t>
      </w:r>
      <w:r w:rsidR="006D1975">
        <w:rPr>
          <w:rFonts w:ascii="Arial Narrow" w:hAnsi="Arial Narrow"/>
          <w:sz w:val="24"/>
        </w:rPr>
        <w:t>, without prior approval of the Board</w:t>
      </w:r>
      <w:r>
        <w:rPr>
          <w:rFonts w:ascii="Arial Narrow" w:hAnsi="Arial Narrow"/>
          <w:sz w:val="24"/>
        </w:rPr>
        <w:t xml:space="preserve">.  </w:t>
      </w:r>
    </w:p>
    <w:p w:rsidR="002A6100" w:rsidRPr="002A6100" w:rsidRDefault="002A6100" w:rsidP="002A6100">
      <w:pPr>
        <w:numPr>
          <w:ilvl w:val="2"/>
          <w:numId w:val="36"/>
        </w:numPr>
        <w:tabs>
          <w:tab w:val="clear" w:pos="1224"/>
          <w:tab w:val="num" w:pos="2127"/>
        </w:tabs>
        <w:spacing w:after="120"/>
        <w:ind w:left="1843"/>
        <w:jc w:val="both"/>
        <w:rPr>
          <w:rFonts w:ascii="Arial Narrow" w:hAnsi="Arial Narrow"/>
          <w:sz w:val="24"/>
        </w:rPr>
      </w:pPr>
      <w:r w:rsidRPr="002A6100">
        <w:rPr>
          <w:rFonts w:ascii="Arial Narrow" w:hAnsi="Arial Narrow"/>
          <w:sz w:val="24"/>
        </w:rPr>
        <w:t>Monies shall be invested in the following instruments:</w:t>
      </w:r>
    </w:p>
    <w:p w:rsidR="002A6100" w:rsidRDefault="002A6100" w:rsidP="002A6100">
      <w:pPr>
        <w:numPr>
          <w:ilvl w:val="0"/>
          <w:numId w:val="46"/>
        </w:numPr>
        <w:spacing w:after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Bills, bonds, debentures or securities issued by the Government of Canada or by the Government of Manitoba, or by any other </w:t>
      </w:r>
      <w:smartTag w:uri="urn:schemas-microsoft-com:office:smarttags" w:element="place">
        <w:smartTag w:uri="urn:schemas-microsoft-com:office:smarttags" w:element="PlaceType">
          <w:r>
            <w:rPr>
              <w:rFonts w:ascii="Arial Narrow" w:hAnsi="Arial Narrow"/>
              <w:sz w:val="24"/>
            </w:rPr>
            <w:t>province</w:t>
          </w:r>
        </w:smartTag>
        <w:r>
          <w:rPr>
            <w:rFonts w:ascii="Arial Narrow" w:hAnsi="Arial Narrow"/>
            <w:sz w:val="24"/>
          </w:rPr>
          <w:t xml:space="preserve"> of </w:t>
        </w:r>
        <w:smartTag w:uri="urn:schemas-microsoft-com:office:smarttags" w:element="PlaceName">
          <w:r>
            <w:rPr>
              <w:rFonts w:ascii="Arial Narrow" w:hAnsi="Arial Narrow"/>
              <w:sz w:val="24"/>
            </w:rPr>
            <w:t>Canada</w:t>
          </w:r>
        </w:smartTag>
      </w:smartTag>
      <w:r>
        <w:rPr>
          <w:rFonts w:ascii="Arial Narrow" w:hAnsi="Arial Narrow"/>
          <w:sz w:val="24"/>
        </w:rPr>
        <w:t xml:space="preserve">. </w:t>
      </w:r>
    </w:p>
    <w:p w:rsidR="002A6100" w:rsidRPr="002A6100" w:rsidRDefault="002A6100" w:rsidP="002A6100">
      <w:pPr>
        <w:numPr>
          <w:ilvl w:val="0"/>
          <w:numId w:val="46"/>
        </w:numPr>
        <w:spacing w:after="120"/>
        <w:jc w:val="both"/>
        <w:rPr>
          <w:rFonts w:ascii="Arial Narrow" w:hAnsi="Arial Narrow"/>
          <w:sz w:val="24"/>
        </w:rPr>
      </w:pPr>
      <w:r w:rsidRPr="002A6100">
        <w:rPr>
          <w:rFonts w:ascii="Arial Narrow" w:hAnsi="Arial Narrow"/>
          <w:sz w:val="24"/>
        </w:rPr>
        <w:t>Bills, bonds, debentures or securities the payment of which is guaranteed by the Government of Canada or by the Government of Manitoba or by any other province of Canada.</w:t>
      </w:r>
    </w:p>
    <w:p w:rsidR="002A6100" w:rsidRPr="002A6100" w:rsidRDefault="002A6100" w:rsidP="002A6100">
      <w:pPr>
        <w:numPr>
          <w:ilvl w:val="0"/>
          <w:numId w:val="46"/>
        </w:numPr>
        <w:spacing w:after="120"/>
        <w:jc w:val="both"/>
        <w:rPr>
          <w:rFonts w:ascii="Arial Narrow" w:hAnsi="Arial Narrow"/>
          <w:sz w:val="24"/>
        </w:rPr>
      </w:pPr>
      <w:r w:rsidRPr="002A6100">
        <w:rPr>
          <w:rFonts w:ascii="Arial Narrow" w:hAnsi="Arial Narrow"/>
          <w:sz w:val="24"/>
        </w:rPr>
        <w:t xml:space="preserve">Deposits in a Schedule I bank, trust company, credit union or </w:t>
      </w:r>
      <w:proofErr w:type="spellStart"/>
      <w:r w:rsidRPr="002A6100">
        <w:rPr>
          <w:rFonts w:ascii="Arial Narrow" w:hAnsi="Arial Narrow"/>
          <w:sz w:val="24"/>
        </w:rPr>
        <w:t>caisse</w:t>
      </w:r>
      <w:proofErr w:type="spellEnd"/>
      <w:r w:rsidRPr="002A6100">
        <w:rPr>
          <w:rFonts w:ascii="Arial Narrow" w:hAnsi="Arial Narrow"/>
          <w:sz w:val="24"/>
        </w:rPr>
        <w:t xml:space="preserve"> </w:t>
      </w:r>
      <w:proofErr w:type="spellStart"/>
      <w:r w:rsidRPr="002A6100">
        <w:rPr>
          <w:rFonts w:ascii="Arial Narrow" w:hAnsi="Arial Narrow"/>
          <w:sz w:val="24"/>
        </w:rPr>
        <w:t>populaire</w:t>
      </w:r>
      <w:proofErr w:type="spellEnd"/>
      <w:r w:rsidRPr="002A6100">
        <w:rPr>
          <w:rFonts w:ascii="Arial Narrow" w:hAnsi="Arial Narrow"/>
          <w:sz w:val="24"/>
        </w:rPr>
        <w:t xml:space="preserve"> (hereinafter referred to as “financial institution”).</w:t>
      </w:r>
    </w:p>
    <w:p w:rsidR="002A6100" w:rsidRPr="002A6100" w:rsidRDefault="002A6100" w:rsidP="002A6100">
      <w:pPr>
        <w:numPr>
          <w:ilvl w:val="0"/>
          <w:numId w:val="46"/>
        </w:numPr>
        <w:spacing w:after="120"/>
        <w:jc w:val="both"/>
        <w:rPr>
          <w:rFonts w:ascii="Arial Narrow" w:hAnsi="Arial Narrow"/>
          <w:sz w:val="24"/>
        </w:rPr>
      </w:pPr>
      <w:r w:rsidRPr="002A6100">
        <w:rPr>
          <w:rFonts w:ascii="Arial Narrow" w:hAnsi="Arial Narrow"/>
          <w:sz w:val="24"/>
        </w:rPr>
        <w:t>Guaranteed Investment Certificates of a financial institution.</w:t>
      </w:r>
    </w:p>
    <w:p w:rsidR="002A6100" w:rsidRPr="00C17F60" w:rsidRDefault="002A6100" w:rsidP="002A6100">
      <w:pPr>
        <w:numPr>
          <w:ilvl w:val="0"/>
          <w:numId w:val="46"/>
        </w:numPr>
        <w:spacing w:after="120"/>
        <w:jc w:val="both"/>
        <w:rPr>
          <w:rFonts w:ascii="Arial Narrow" w:hAnsi="Arial Narrow"/>
          <w:i/>
          <w:sz w:val="24"/>
        </w:rPr>
      </w:pPr>
      <w:r w:rsidRPr="002A6100">
        <w:rPr>
          <w:rFonts w:ascii="Arial Narrow" w:hAnsi="Arial Narrow"/>
          <w:sz w:val="24"/>
        </w:rPr>
        <w:t xml:space="preserve">Investments in any deposit receipts guaranteed under </w:t>
      </w:r>
      <w:r w:rsidR="00C17F60" w:rsidRPr="00C17F60">
        <w:rPr>
          <w:rFonts w:ascii="Arial Narrow" w:hAnsi="Arial Narrow"/>
          <w:i/>
          <w:sz w:val="24"/>
        </w:rPr>
        <w:t>T</w:t>
      </w:r>
      <w:r w:rsidRPr="00C17F60">
        <w:rPr>
          <w:rFonts w:ascii="Arial Narrow" w:hAnsi="Arial Narrow"/>
          <w:i/>
          <w:sz w:val="24"/>
        </w:rPr>
        <w:t>he Canada Deposit Insurance Corporations Act.</w:t>
      </w:r>
    </w:p>
    <w:p w:rsidR="002A6100" w:rsidRPr="002A6100" w:rsidRDefault="002A6100" w:rsidP="002A6100">
      <w:pPr>
        <w:numPr>
          <w:ilvl w:val="0"/>
          <w:numId w:val="46"/>
        </w:numPr>
        <w:spacing w:after="120"/>
        <w:jc w:val="both"/>
        <w:rPr>
          <w:rFonts w:ascii="Arial Narrow" w:hAnsi="Arial Narrow"/>
          <w:sz w:val="24"/>
        </w:rPr>
      </w:pPr>
      <w:r w:rsidRPr="002A6100">
        <w:rPr>
          <w:rFonts w:ascii="Arial Narrow" w:hAnsi="Arial Narrow"/>
          <w:sz w:val="24"/>
        </w:rPr>
        <w:t>Securities that are unconditionally guaranteed by a financial institution, as to repayment of principal and interest.</w:t>
      </w:r>
    </w:p>
    <w:p w:rsidR="00103512" w:rsidRDefault="002A6100" w:rsidP="002A6100">
      <w:pPr>
        <w:numPr>
          <w:ilvl w:val="1"/>
          <w:numId w:val="36"/>
        </w:numPr>
        <w:tabs>
          <w:tab w:val="clear" w:pos="792"/>
          <w:tab w:val="num" w:pos="851"/>
        </w:tabs>
        <w:spacing w:after="120"/>
        <w:ind w:left="1276" w:hanging="709"/>
        <w:jc w:val="both"/>
        <w:rPr>
          <w:rFonts w:ascii="Arial Narrow" w:hAnsi="Arial Narrow"/>
          <w:sz w:val="24"/>
        </w:rPr>
      </w:pPr>
      <w:r w:rsidRPr="002A6100">
        <w:rPr>
          <w:rFonts w:ascii="Arial Narrow" w:hAnsi="Arial Narrow"/>
          <w:sz w:val="24"/>
        </w:rPr>
        <w:t xml:space="preserve">Preference will be given to </w:t>
      </w:r>
      <w:smartTag w:uri="urn:schemas-microsoft-com:office:smarttags" w:element="place">
        <w:smartTag w:uri="urn:schemas-microsoft-com:office:smarttags" w:element="State">
          <w:r w:rsidRPr="002A6100">
            <w:rPr>
              <w:rFonts w:ascii="Arial Narrow" w:hAnsi="Arial Narrow"/>
              <w:sz w:val="24"/>
            </w:rPr>
            <w:t>Manitoba</w:t>
          </w:r>
        </w:smartTag>
      </w:smartTag>
      <w:r w:rsidRPr="002A6100">
        <w:rPr>
          <w:rFonts w:ascii="Arial Narrow" w:hAnsi="Arial Narrow"/>
          <w:sz w:val="24"/>
        </w:rPr>
        <w:t xml:space="preserve"> investments where return on investment, safety and guarantee of capital and liquid</w:t>
      </w:r>
      <w:r>
        <w:rPr>
          <w:rFonts w:ascii="Arial Narrow" w:hAnsi="Arial Narrow"/>
          <w:sz w:val="24"/>
        </w:rPr>
        <w:t>ity are equal to other investments.  All investments are to be made such that safety of principal is of prime importance.  The Chief Executive Officer or his/her authorized designate are responsible for maximizing investment income</w:t>
      </w:r>
      <w:bookmarkStart w:id="0" w:name="_GoBack"/>
      <w:bookmarkEnd w:id="0"/>
      <w:r>
        <w:rPr>
          <w:rFonts w:ascii="Arial Narrow" w:hAnsi="Arial Narrow"/>
          <w:sz w:val="24"/>
        </w:rPr>
        <w:t xml:space="preserve"> for </w:t>
      </w:r>
      <w:r w:rsidR="00355E1B">
        <w:rPr>
          <w:rFonts w:ascii="Arial Narrow" w:hAnsi="Arial Narrow"/>
          <w:sz w:val="24"/>
        </w:rPr>
        <w:t>Southern Health-Santé Sud</w:t>
      </w:r>
    </w:p>
    <w:p w:rsidR="00054621" w:rsidRPr="002A6100" w:rsidRDefault="00054621" w:rsidP="00D41BEB">
      <w:pPr>
        <w:spacing w:after="120"/>
        <w:jc w:val="both"/>
        <w:rPr>
          <w:rFonts w:ascii="Arial Narrow" w:hAnsi="Arial Narrow"/>
          <w:sz w:val="24"/>
        </w:rPr>
      </w:pPr>
    </w:p>
    <w:sectPr w:rsidR="00054621" w:rsidRPr="002A6100" w:rsidSect="001F2273">
      <w:footerReference w:type="default" r:id="rId8"/>
      <w:pgSz w:w="12242" w:h="15842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DA5" w:rsidRDefault="00091DA5">
      <w:r>
        <w:separator/>
      </w:r>
    </w:p>
  </w:endnote>
  <w:endnote w:type="continuationSeparator" w:id="0">
    <w:p w:rsidR="00091DA5" w:rsidRDefault="0009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DA5" w:rsidRPr="00C663E0" w:rsidRDefault="00091DA5">
    <w:pPr>
      <w:pStyle w:val="Footer"/>
      <w:rPr>
        <w:rFonts w:ascii="Arial Narrow" w:hAnsi="Arial Narrow"/>
        <w:snapToGrid w:val="0"/>
      </w:rPr>
    </w:pPr>
    <w:r>
      <w:rPr>
        <w:rFonts w:ascii="Arial Narrow" w:hAnsi="Arial Narrow"/>
        <w:snapToGrid w:val="0"/>
      </w:rPr>
      <w:t>EL-5 Finan</w:t>
    </w:r>
    <w:r w:rsidR="00946A95">
      <w:rPr>
        <w:rFonts w:ascii="Arial Narrow" w:hAnsi="Arial Narrow"/>
        <w:snapToGrid w:val="0"/>
      </w:rPr>
      <w:t xml:space="preserve">cial Conditions &amp; Activities </w:t>
    </w:r>
    <w:r w:rsidR="00C8454F" w:rsidRPr="00C8454F">
      <w:rPr>
        <w:rFonts w:ascii="Arial Narrow" w:hAnsi="Arial Narrow"/>
        <w:snapToGrid w:val="0"/>
      </w:rPr>
      <w:t>March 15, 2022</w:t>
    </w:r>
  </w:p>
  <w:p w:rsidR="00091DA5" w:rsidRPr="00C663E0" w:rsidRDefault="00091DA5">
    <w:pPr>
      <w:pStyle w:val="Footer"/>
      <w:rPr>
        <w:rFonts w:ascii="Arial Narrow" w:hAnsi="Arial Narrow"/>
      </w:rPr>
    </w:pPr>
    <w:r w:rsidRPr="00C8454F">
      <w:rPr>
        <w:rFonts w:ascii="Arial Narrow" w:hAnsi="Arial Narrow"/>
        <w:snapToGrid w:val="0"/>
      </w:rPr>
      <w:t xml:space="preserve">Page </w:t>
    </w:r>
    <w:r w:rsidR="00950108" w:rsidRPr="00C8454F">
      <w:rPr>
        <w:rFonts w:ascii="Arial Narrow" w:hAnsi="Arial Narrow"/>
        <w:snapToGrid w:val="0"/>
      </w:rPr>
      <w:fldChar w:fldCharType="begin"/>
    </w:r>
    <w:r w:rsidRPr="00C8454F">
      <w:rPr>
        <w:rFonts w:ascii="Arial Narrow" w:hAnsi="Arial Narrow"/>
        <w:snapToGrid w:val="0"/>
      </w:rPr>
      <w:instrText xml:space="preserve"> PAGE </w:instrText>
    </w:r>
    <w:r w:rsidR="00950108" w:rsidRPr="00C8454F">
      <w:rPr>
        <w:rFonts w:ascii="Arial Narrow" w:hAnsi="Arial Narrow"/>
        <w:snapToGrid w:val="0"/>
      </w:rPr>
      <w:fldChar w:fldCharType="separate"/>
    </w:r>
    <w:r w:rsidR="001429ED" w:rsidRPr="00C8454F">
      <w:rPr>
        <w:rFonts w:ascii="Arial Narrow" w:hAnsi="Arial Narrow"/>
        <w:noProof/>
        <w:snapToGrid w:val="0"/>
      </w:rPr>
      <w:t>1</w:t>
    </w:r>
    <w:r w:rsidR="00950108" w:rsidRPr="00C8454F">
      <w:rPr>
        <w:rFonts w:ascii="Arial Narrow" w:hAnsi="Arial Narrow"/>
        <w:snapToGrid w:val="0"/>
      </w:rPr>
      <w:fldChar w:fldCharType="end"/>
    </w:r>
    <w:r w:rsidRPr="00C8454F">
      <w:rPr>
        <w:rFonts w:ascii="Arial Narrow" w:hAnsi="Arial Narrow"/>
        <w:snapToGrid w:val="0"/>
      </w:rPr>
      <w:t xml:space="preserve"> of </w:t>
    </w:r>
    <w:r w:rsidR="00950108" w:rsidRPr="00C8454F">
      <w:rPr>
        <w:rFonts w:ascii="Arial Narrow" w:hAnsi="Arial Narrow"/>
        <w:snapToGrid w:val="0"/>
      </w:rPr>
      <w:fldChar w:fldCharType="begin"/>
    </w:r>
    <w:r w:rsidRPr="00C8454F">
      <w:rPr>
        <w:rFonts w:ascii="Arial Narrow" w:hAnsi="Arial Narrow"/>
        <w:snapToGrid w:val="0"/>
      </w:rPr>
      <w:instrText xml:space="preserve"> NUMPAGES </w:instrText>
    </w:r>
    <w:r w:rsidR="00950108" w:rsidRPr="00C8454F">
      <w:rPr>
        <w:rFonts w:ascii="Arial Narrow" w:hAnsi="Arial Narrow"/>
        <w:snapToGrid w:val="0"/>
      </w:rPr>
      <w:fldChar w:fldCharType="separate"/>
    </w:r>
    <w:r w:rsidR="001429ED" w:rsidRPr="00C8454F">
      <w:rPr>
        <w:rFonts w:ascii="Arial Narrow" w:hAnsi="Arial Narrow"/>
        <w:noProof/>
        <w:snapToGrid w:val="0"/>
      </w:rPr>
      <w:t>2</w:t>
    </w:r>
    <w:r w:rsidR="00950108" w:rsidRPr="00C8454F">
      <w:rPr>
        <w:rFonts w:ascii="Arial Narrow" w:hAnsi="Arial Narrow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DA5" w:rsidRDefault="00091DA5">
      <w:r>
        <w:separator/>
      </w:r>
    </w:p>
  </w:footnote>
  <w:footnote w:type="continuationSeparator" w:id="0">
    <w:p w:rsidR="00091DA5" w:rsidRDefault="0009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B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53251C"/>
    <w:multiLevelType w:val="singleLevel"/>
    <w:tmpl w:val="CD2A6C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0AAB04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6C36C45"/>
    <w:multiLevelType w:val="singleLevel"/>
    <w:tmpl w:val="D216575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17C473F5"/>
    <w:multiLevelType w:val="singleLevel"/>
    <w:tmpl w:val="7E864D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 w15:restartNumberingAfterBreak="0">
    <w:nsid w:val="190E6F7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A59717D"/>
    <w:multiLevelType w:val="singleLevel"/>
    <w:tmpl w:val="12D248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C786A29"/>
    <w:multiLevelType w:val="singleLevel"/>
    <w:tmpl w:val="5E7671F8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 w15:restartNumberingAfterBreak="0">
    <w:nsid w:val="1CF111CD"/>
    <w:multiLevelType w:val="singleLevel"/>
    <w:tmpl w:val="4B2093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1ED63519"/>
    <w:multiLevelType w:val="singleLevel"/>
    <w:tmpl w:val="71F64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21EC2643"/>
    <w:multiLevelType w:val="multilevel"/>
    <w:tmpl w:val="28F4A51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40476CC"/>
    <w:multiLevelType w:val="singleLevel"/>
    <w:tmpl w:val="61BA710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 w15:restartNumberingAfterBreak="0">
    <w:nsid w:val="26C0456E"/>
    <w:multiLevelType w:val="singleLevel"/>
    <w:tmpl w:val="AFCA6FB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3" w15:restartNumberingAfterBreak="0">
    <w:nsid w:val="298A5B34"/>
    <w:multiLevelType w:val="singleLevel"/>
    <w:tmpl w:val="5FC46DD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332E38E0"/>
    <w:multiLevelType w:val="hybridMultilevel"/>
    <w:tmpl w:val="41B4FF80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EE509D"/>
    <w:multiLevelType w:val="singleLevel"/>
    <w:tmpl w:val="9C32CAD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 w15:restartNumberingAfterBreak="0">
    <w:nsid w:val="36034762"/>
    <w:multiLevelType w:val="singleLevel"/>
    <w:tmpl w:val="850806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373073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8640F90"/>
    <w:multiLevelType w:val="singleLevel"/>
    <w:tmpl w:val="978C6DB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9" w15:restartNumberingAfterBreak="0">
    <w:nsid w:val="3EC1337B"/>
    <w:multiLevelType w:val="multilevel"/>
    <w:tmpl w:val="181C7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 w15:restartNumberingAfterBreak="0">
    <w:nsid w:val="412D2A82"/>
    <w:multiLevelType w:val="singleLevel"/>
    <w:tmpl w:val="CFB83FC8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 w15:restartNumberingAfterBreak="0">
    <w:nsid w:val="41517519"/>
    <w:multiLevelType w:val="singleLevel"/>
    <w:tmpl w:val="037E479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2" w15:restartNumberingAfterBreak="0">
    <w:nsid w:val="465C71EF"/>
    <w:multiLevelType w:val="hybridMultilevel"/>
    <w:tmpl w:val="45DC5662"/>
    <w:lvl w:ilvl="0" w:tplc="DD84BC06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2644CB"/>
    <w:multiLevelType w:val="singleLevel"/>
    <w:tmpl w:val="A84C0AF8"/>
    <w:lvl w:ilvl="0">
      <w:start w:val="1"/>
      <w:numFmt w:val="decimal"/>
      <w:lvlText w:val="6.%1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4" w15:restartNumberingAfterBreak="0">
    <w:nsid w:val="472F1FAF"/>
    <w:multiLevelType w:val="singleLevel"/>
    <w:tmpl w:val="454622D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5" w15:restartNumberingAfterBreak="0">
    <w:nsid w:val="48B22900"/>
    <w:multiLevelType w:val="singleLevel"/>
    <w:tmpl w:val="2EA4AD4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6" w15:restartNumberingAfterBreak="0">
    <w:nsid w:val="48D26F09"/>
    <w:multiLevelType w:val="singleLevel"/>
    <w:tmpl w:val="D59C5CFC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7" w15:restartNumberingAfterBreak="0">
    <w:nsid w:val="48E668F5"/>
    <w:multiLevelType w:val="hybridMultilevel"/>
    <w:tmpl w:val="93BE79F0"/>
    <w:lvl w:ilvl="0" w:tplc="C52A6248">
      <w:start w:val="1"/>
      <w:numFmt w:val="bullet"/>
      <w:lvlText w:val="♦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98B1520"/>
    <w:multiLevelType w:val="singleLevel"/>
    <w:tmpl w:val="3E4C634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B8F6DA0"/>
    <w:multiLevelType w:val="singleLevel"/>
    <w:tmpl w:val="B5ECD62C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 w15:restartNumberingAfterBreak="0">
    <w:nsid w:val="4BF70728"/>
    <w:multiLevelType w:val="singleLevel"/>
    <w:tmpl w:val="685E5AB6"/>
    <w:lvl w:ilvl="0">
      <w:start w:val="1"/>
      <w:numFmt w:val="decimal"/>
      <w:lvlText w:val="2.%1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1" w15:restartNumberingAfterBreak="0">
    <w:nsid w:val="4E3748A5"/>
    <w:multiLevelType w:val="singleLevel"/>
    <w:tmpl w:val="495835F8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2" w15:restartNumberingAfterBreak="0">
    <w:nsid w:val="59696B04"/>
    <w:multiLevelType w:val="multilevel"/>
    <w:tmpl w:val="1A1604E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D641235"/>
    <w:multiLevelType w:val="multilevel"/>
    <w:tmpl w:val="7156617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5FA74DB3"/>
    <w:multiLevelType w:val="singleLevel"/>
    <w:tmpl w:val="00A61B0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5" w15:restartNumberingAfterBreak="0">
    <w:nsid w:val="5FD06805"/>
    <w:multiLevelType w:val="singleLevel"/>
    <w:tmpl w:val="C92E6D2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6" w15:restartNumberingAfterBreak="0">
    <w:nsid w:val="611936CE"/>
    <w:multiLevelType w:val="singleLevel"/>
    <w:tmpl w:val="5F105C9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7" w15:restartNumberingAfterBreak="0">
    <w:nsid w:val="62EB2DA5"/>
    <w:multiLevelType w:val="multilevel"/>
    <w:tmpl w:val="45DC5662"/>
    <w:lvl w:ilvl="0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3755A0B"/>
    <w:multiLevelType w:val="singleLevel"/>
    <w:tmpl w:val="4B2093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 w15:restartNumberingAfterBreak="0">
    <w:nsid w:val="663006D7"/>
    <w:multiLevelType w:val="singleLevel"/>
    <w:tmpl w:val="1C684A5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0" w15:restartNumberingAfterBreak="0">
    <w:nsid w:val="668C4C80"/>
    <w:multiLevelType w:val="singleLevel"/>
    <w:tmpl w:val="5E7671F8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1" w15:restartNumberingAfterBreak="0">
    <w:nsid w:val="6ACF4766"/>
    <w:multiLevelType w:val="multilevel"/>
    <w:tmpl w:val="A182723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76A5631B"/>
    <w:multiLevelType w:val="singleLevel"/>
    <w:tmpl w:val="9F54E1A0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3" w15:restartNumberingAfterBreak="0">
    <w:nsid w:val="7A2A79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D33672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3"/>
  </w:num>
  <w:num w:numId="2">
    <w:abstractNumId w:val="16"/>
  </w:num>
  <w:num w:numId="3">
    <w:abstractNumId w:val="9"/>
  </w:num>
  <w:num w:numId="4">
    <w:abstractNumId w:val="28"/>
  </w:num>
  <w:num w:numId="5">
    <w:abstractNumId w:val="17"/>
  </w:num>
  <w:num w:numId="6">
    <w:abstractNumId w:val="4"/>
  </w:num>
  <w:num w:numId="7">
    <w:abstractNumId w:val="1"/>
  </w:num>
  <w:num w:numId="8">
    <w:abstractNumId w:val="24"/>
  </w:num>
  <w:num w:numId="9">
    <w:abstractNumId w:val="25"/>
  </w:num>
  <w:num w:numId="10">
    <w:abstractNumId w:val="21"/>
  </w:num>
  <w:num w:numId="11">
    <w:abstractNumId w:val="7"/>
  </w:num>
  <w:num w:numId="12">
    <w:abstractNumId w:val="36"/>
  </w:num>
  <w:num w:numId="13">
    <w:abstractNumId w:val="26"/>
  </w:num>
  <w:num w:numId="14">
    <w:abstractNumId w:val="29"/>
  </w:num>
  <w:num w:numId="15">
    <w:abstractNumId w:val="40"/>
  </w:num>
  <w:num w:numId="16">
    <w:abstractNumId w:val="8"/>
  </w:num>
  <w:num w:numId="17">
    <w:abstractNumId w:val="38"/>
  </w:num>
  <w:num w:numId="18">
    <w:abstractNumId w:val="6"/>
  </w:num>
  <w:num w:numId="19">
    <w:abstractNumId w:val="3"/>
  </w:num>
  <w:num w:numId="20">
    <w:abstractNumId w:val="30"/>
  </w:num>
  <w:num w:numId="21">
    <w:abstractNumId w:val="15"/>
  </w:num>
  <w:num w:numId="22">
    <w:abstractNumId w:val="15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3">
    <w:abstractNumId w:val="23"/>
  </w:num>
  <w:num w:numId="24">
    <w:abstractNumId w:val="11"/>
  </w:num>
  <w:num w:numId="25">
    <w:abstractNumId w:val="11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6">
    <w:abstractNumId w:val="20"/>
  </w:num>
  <w:num w:numId="27">
    <w:abstractNumId w:val="12"/>
  </w:num>
  <w:num w:numId="28">
    <w:abstractNumId w:val="39"/>
  </w:num>
  <w:num w:numId="29">
    <w:abstractNumId w:val="35"/>
  </w:num>
  <w:num w:numId="30">
    <w:abstractNumId w:val="18"/>
  </w:num>
  <w:num w:numId="31">
    <w:abstractNumId w:val="31"/>
  </w:num>
  <w:num w:numId="32">
    <w:abstractNumId w:val="34"/>
  </w:num>
  <w:num w:numId="33">
    <w:abstractNumId w:val="42"/>
  </w:num>
  <w:num w:numId="34">
    <w:abstractNumId w:val="13"/>
  </w:num>
  <w:num w:numId="35">
    <w:abstractNumId w:val="0"/>
  </w:num>
  <w:num w:numId="36">
    <w:abstractNumId w:val="44"/>
  </w:num>
  <w:num w:numId="37">
    <w:abstractNumId w:val="32"/>
  </w:num>
  <w:num w:numId="38">
    <w:abstractNumId w:val="2"/>
  </w:num>
  <w:num w:numId="39">
    <w:abstractNumId w:val="5"/>
  </w:num>
  <w:num w:numId="40">
    <w:abstractNumId w:val="10"/>
  </w:num>
  <w:num w:numId="41">
    <w:abstractNumId w:val="41"/>
  </w:num>
  <w:num w:numId="42">
    <w:abstractNumId w:val="19"/>
  </w:num>
  <w:num w:numId="43">
    <w:abstractNumId w:val="33"/>
  </w:num>
  <w:num w:numId="44">
    <w:abstractNumId w:val="22"/>
  </w:num>
  <w:num w:numId="45">
    <w:abstractNumId w:val="37"/>
  </w:num>
  <w:num w:numId="46">
    <w:abstractNumId w:val="27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5774DD"/>
    <w:rsid w:val="0002341F"/>
    <w:rsid w:val="000438C4"/>
    <w:rsid w:val="00052657"/>
    <w:rsid w:val="00054621"/>
    <w:rsid w:val="00091DA5"/>
    <w:rsid w:val="00096F3D"/>
    <w:rsid w:val="000C3916"/>
    <w:rsid w:val="000E3B41"/>
    <w:rsid w:val="00103512"/>
    <w:rsid w:val="00105546"/>
    <w:rsid w:val="00112806"/>
    <w:rsid w:val="001248D2"/>
    <w:rsid w:val="001429ED"/>
    <w:rsid w:val="00144347"/>
    <w:rsid w:val="00160478"/>
    <w:rsid w:val="00192C94"/>
    <w:rsid w:val="00195E1A"/>
    <w:rsid w:val="001D1361"/>
    <w:rsid w:val="001F2273"/>
    <w:rsid w:val="00201879"/>
    <w:rsid w:val="002207D7"/>
    <w:rsid w:val="00225A40"/>
    <w:rsid w:val="00235526"/>
    <w:rsid w:val="00253347"/>
    <w:rsid w:val="002A6100"/>
    <w:rsid w:val="002F3E32"/>
    <w:rsid w:val="0035595A"/>
    <w:rsid w:val="00355E1B"/>
    <w:rsid w:val="00397051"/>
    <w:rsid w:val="003A26CB"/>
    <w:rsid w:val="003D619D"/>
    <w:rsid w:val="003F76AF"/>
    <w:rsid w:val="004261E0"/>
    <w:rsid w:val="004344F7"/>
    <w:rsid w:val="00471EDB"/>
    <w:rsid w:val="00481F72"/>
    <w:rsid w:val="004B60E6"/>
    <w:rsid w:val="004C25F7"/>
    <w:rsid w:val="004E1B04"/>
    <w:rsid w:val="004F27AF"/>
    <w:rsid w:val="004F68B9"/>
    <w:rsid w:val="005135F2"/>
    <w:rsid w:val="00523360"/>
    <w:rsid w:val="00526533"/>
    <w:rsid w:val="0053689B"/>
    <w:rsid w:val="00552543"/>
    <w:rsid w:val="005636A1"/>
    <w:rsid w:val="0057371E"/>
    <w:rsid w:val="005774DD"/>
    <w:rsid w:val="005E5E6F"/>
    <w:rsid w:val="00651ED8"/>
    <w:rsid w:val="006B629A"/>
    <w:rsid w:val="006D1975"/>
    <w:rsid w:val="006F2EA0"/>
    <w:rsid w:val="007565D9"/>
    <w:rsid w:val="007605EF"/>
    <w:rsid w:val="007925FB"/>
    <w:rsid w:val="0079652C"/>
    <w:rsid w:val="007A3267"/>
    <w:rsid w:val="007B420A"/>
    <w:rsid w:val="007E479C"/>
    <w:rsid w:val="007F0105"/>
    <w:rsid w:val="00825A72"/>
    <w:rsid w:val="0082765D"/>
    <w:rsid w:val="00873EB4"/>
    <w:rsid w:val="008A08DD"/>
    <w:rsid w:val="008B0A19"/>
    <w:rsid w:val="008B7B13"/>
    <w:rsid w:val="0093781F"/>
    <w:rsid w:val="00941B34"/>
    <w:rsid w:val="00946A95"/>
    <w:rsid w:val="00950108"/>
    <w:rsid w:val="00995BD7"/>
    <w:rsid w:val="00996875"/>
    <w:rsid w:val="009E44C1"/>
    <w:rsid w:val="009F2A95"/>
    <w:rsid w:val="00A14D83"/>
    <w:rsid w:val="00A414FA"/>
    <w:rsid w:val="00A41A65"/>
    <w:rsid w:val="00A70D5E"/>
    <w:rsid w:val="00AA2DD2"/>
    <w:rsid w:val="00AA4F2C"/>
    <w:rsid w:val="00AA7538"/>
    <w:rsid w:val="00AB3BFE"/>
    <w:rsid w:val="00AC1925"/>
    <w:rsid w:val="00AF5E27"/>
    <w:rsid w:val="00B06301"/>
    <w:rsid w:val="00B11CD9"/>
    <w:rsid w:val="00B17724"/>
    <w:rsid w:val="00BA0C77"/>
    <w:rsid w:val="00BF04DD"/>
    <w:rsid w:val="00C05EC8"/>
    <w:rsid w:val="00C134D9"/>
    <w:rsid w:val="00C13CF8"/>
    <w:rsid w:val="00C17F60"/>
    <w:rsid w:val="00C346B5"/>
    <w:rsid w:val="00C63D68"/>
    <w:rsid w:val="00C663E0"/>
    <w:rsid w:val="00C713B5"/>
    <w:rsid w:val="00C81102"/>
    <w:rsid w:val="00C8454F"/>
    <w:rsid w:val="00C845D9"/>
    <w:rsid w:val="00C85757"/>
    <w:rsid w:val="00C8708A"/>
    <w:rsid w:val="00D27DAC"/>
    <w:rsid w:val="00D33513"/>
    <w:rsid w:val="00D33F64"/>
    <w:rsid w:val="00D41482"/>
    <w:rsid w:val="00D41BEB"/>
    <w:rsid w:val="00D47A01"/>
    <w:rsid w:val="00D52127"/>
    <w:rsid w:val="00D60617"/>
    <w:rsid w:val="00D60705"/>
    <w:rsid w:val="00D96C34"/>
    <w:rsid w:val="00DE1B0B"/>
    <w:rsid w:val="00DE5D37"/>
    <w:rsid w:val="00E01425"/>
    <w:rsid w:val="00E022BF"/>
    <w:rsid w:val="00E14249"/>
    <w:rsid w:val="00E24D7B"/>
    <w:rsid w:val="00E30B6E"/>
    <w:rsid w:val="00E753D5"/>
    <w:rsid w:val="00EA2234"/>
    <w:rsid w:val="00EC2B43"/>
    <w:rsid w:val="00EC476B"/>
    <w:rsid w:val="00EF08E2"/>
    <w:rsid w:val="00F25214"/>
    <w:rsid w:val="00F26FB1"/>
    <w:rsid w:val="00F4151A"/>
    <w:rsid w:val="00F744B7"/>
    <w:rsid w:val="00FD56B3"/>
    <w:rsid w:val="00FE7413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  <w14:docId w14:val="185736E5"/>
  <w15:docId w15:val="{9E52BDA8-5DCE-4EC3-B487-FEDF19B6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2273"/>
    <w:rPr>
      <w:lang w:val="en-US" w:eastAsia="en-US"/>
    </w:rPr>
  </w:style>
  <w:style w:type="paragraph" w:styleId="Heading1">
    <w:name w:val="heading 1"/>
    <w:basedOn w:val="Normal"/>
    <w:next w:val="Normal"/>
    <w:qFormat/>
    <w:rsid w:val="001F2273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F227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F2273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F2273"/>
    <w:pPr>
      <w:keepNext/>
      <w:ind w:left="720" w:firstLine="720"/>
      <w:jc w:val="both"/>
      <w:outlineLvl w:val="3"/>
    </w:pPr>
    <w:rPr>
      <w:rFonts w:ascii="Arial" w:hAnsi="Arial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22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2273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F2273"/>
    <w:pPr>
      <w:jc w:val="both"/>
    </w:pPr>
    <w:rPr>
      <w:b/>
      <w:sz w:val="24"/>
    </w:rPr>
  </w:style>
  <w:style w:type="paragraph" w:styleId="BodyText2">
    <w:name w:val="Body Text 2"/>
    <w:basedOn w:val="Normal"/>
    <w:rsid w:val="001F2273"/>
    <w:rPr>
      <w:rFonts w:ascii="TimesNewRoman" w:hAnsi="TimesNewRoman"/>
      <w:snapToGrid w:val="0"/>
      <w:sz w:val="24"/>
    </w:rPr>
  </w:style>
  <w:style w:type="paragraph" w:styleId="BalloonText">
    <w:name w:val="Balloon Text"/>
    <w:basedOn w:val="Normal"/>
    <w:semiHidden/>
    <w:rsid w:val="00AA753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03512"/>
    <w:pPr>
      <w:spacing w:after="120"/>
      <w:ind w:left="283"/>
    </w:pPr>
  </w:style>
  <w:style w:type="paragraph" w:styleId="BodyTextIndent2">
    <w:name w:val="Body Text Indent 2"/>
    <w:basedOn w:val="Normal"/>
    <w:rsid w:val="0010351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03512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D4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F2C"/>
    <w:pPr>
      <w:ind w:left="720"/>
      <w:contextualSpacing/>
    </w:pPr>
  </w:style>
  <w:style w:type="paragraph" w:customStyle="1" w:styleId="Default">
    <w:name w:val="Default"/>
    <w:rsid w:val="007A32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35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Authority – Central Manitoba Inc</vt:lpstr>
    </vt:vector>
  </TitlesOfParts>
  <Company>RHA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Health Authority – Central Manitoba Inc</dc:title>
  <dc:creator>Carol P. Garnham</dc:creator>
  <cp:lastModifiedBy>Lyndsay Olson</cp:lastModifiedBy>
  <cp:revision>14</cp:revision>
  <cp:lastPrinted>2015-10-26T18:13:00Z</cp:lastPrinted>
  <dcterms:created xsi:type="dcterms:W3CDTF">2015-10-26T17:48:00Z</dcterms:created>
  <dcterms:modified xsi:type="dcterms:W3CDTF">2022-05-02T16:24:00Z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824952177</vt:i4>
  </property>
  <property fmtid="{D5CDD505-2E9C-101B-9397-08002B2CF9AE}" pid="3" name="_NewReviewCycle">
    <vt:lpwstr/>
  </property>
  <property fmtid="{D5CDD505-2E9C-101B-9397-08002B2CF9AE}" pid="4" name="_EmailSubject">
    <vt:lpwstr>Revised Els 1 to 10 for Policy Review ctee</vt:lpwstr>
  </property>
  <property fmtid="{D5CDD505-2E9C-101B-9397-08002B2CF9AE}" pid="5" name="_AuthorEmail">
    <vt:lpwstr>clahaie@rha-central.mb.ca</vt:lpwstr>
  </property>
  <property fmtid="{D5CDD505-2E9C-101B-9397-08002B2CF9AE}" pid="6" name="_AuthorEmailDisplayName">
    <vt:lpwstr>Claudette Lahaie</vt:lpwstr>
  </property>
  <property fmtid="{D5CDD505-2E9C-101B-9397-08002B2CF9AE}" pid="7" name="_ReviewingToolsShownOnce">
    <vt:lpwstr/>
  </property>
</Properties>
</file>